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juin 2025
mercredi,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15, 1-12.17-18)</w:t>
      </w:r>
      <w:bookmarkEnd w:id="2"/>
    </w:p>
    <w:p>
      <w:pPr/>
      <w:r>
        <w:rPr/>
        <w:t xml:space="preserve">En ces jours-là, la parole du Seigneur fut adressée à Abram dans une vision : « Ne crains pas, Abram ! Je suis un bouclier pour toi. Ta récompense sera très grande. » Abram répondit : « Mon Seigneur Dieu, que pourrais-tu donc me donner ? Je m’en vais sans enfant, et l’héritier de ma maison, c’est Élièzer de Damas. » Abram dit encore : « Tu ne m’as pas donné de descendance, et c’est un de mes serviteurs qui sera mon héritier. » Alors cette parole du Seigneur fut adressée à Abram : « Ce n’est pas lui qui sera ton héritier, mais quelqu’un de ton sang. » Puis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2025-02-24T12:28:59+01:00</dcterms:created>
  <dcterms:modified xsi:type="dcterms:W3CDTF">2025-02-24T12:28:59+01:00</dcterms:modified>
</cp:coreProperties>
</file>

<file path=docProps/custom.xml><?xml version="1.0" encoding="utf-8"?>
<Properties xmlns="http://schemas.openxmlformats.org/officeDocument/2006/custom-properties" xmlns:vt="http://schemas.openxmlformats.org/officeDocument/2006/docPropsVTypes"/>
</file>